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C9" w:rsidRDefault="009C52C9" w:rsidP="009C52C9">
      <w:pPr>
        <w:pStyle w:val="a3"/>
        <w:shd w:val="clear" w:color="auto" w:fill="FFFFFF"/>
        <w:spacing w:before="225" w:beforeAutospacing="0" w:after="225" w:afterAutospacing="0" w:line="540" w:lineRule="atLeast"/>
        <w:jc w:val="center"/>
        <w:rPr>
          <w:rFonts w:ascii="微软雅黑" w:eastAsia="微软雅黑" w:hAnsi="微软雅黑"/>
          <w:color w:val="333333"/>
        </w:rPr>
      </w:pPr>
      <w:bookmarkStart w:id="0" w:name="_GoBack"/>
      <w:bookmarkEnd w:id="0"/>
      <w:r>
        <w:rPr>
          <w:rStyle w:val="a4"/>
          <w:rFonts w:hint="eastAsia"/>
          <w:color w:val="333333"/>
          <w:sz w:val="27"/>
          <w:szCs w:val="27"/>
        </w:rPr>
        <w:t>资产管理制度</w:t>
      </w:r>
    </w:p>
    <w:p w:rsidR="009C52C9" w:rsidRDefault="009C52C9" w:rsidP="009C52C9">
      <w:pPr>
        <w:pStyle w:val="a3"/>
        <w:shd w:val="clear" w:color="auto" w:fill="FFFFFF"/>
        <w:spacing w:before="225" w:beforeAutospacing="0" w:after="225" w:afterAutospacing="0" w:line="540" w:lineRule="atLeast"/>
        <w:jc w:val="center"/>
        <w:rPr>
          <w:rFonts w:ascii="微软雅黑" w:eastAsia="微软雅黑" w:hAnsi="微软雅黑"/>
          <w:color w:val="333333"/>
        </w:rPr>
      </w:pPr>
      <w:r>
        <w:rPr>
          <w:rStyle w:val="a4"/>
          <w:rFonts w:hint="eastAsia"/>
          <w:color w:val="333333"/>
        </w:rPr>
        <w:t>第一章  总  则</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第一条</w:t>
      </w:r>
      <w:r>
        <w:rPr>
          <w:rFonts w:ascii="Calibri" w:eastAsia="黑体" w:hAnsi="Calibri" w:cs="Calibri"/>
          <w:color w:val="333333"/>
          <w:sz w:val="32"/>
          <w:szCs w:val="32"/>
        </w:rPr>
        <w:t> </w:t>
      </w:r>
      <w:r>
        <w:rPr>
          <w:rStyle w:val="a4"/>
          <w:rFonts w:ascii="Calibri" w:eastAsia="仿宋" w:hAnsi="Calibri" w:cs="Calibri"/>
          <w:color w:val="333333"/>
          <w:sz w:val="32"/>
          <w:szCs w:val="32"/>
        </w:rPr>
        <w:t> </w:t>
      </w:r>
      <w:r>
        <w:rPr>
          <w:rFonts w:hint="eastAsia"/>
          <w:color w:val="333333"/>
        </w:rPr>
        <w:t>为规范上海复星公益基金会资产管理，根据《中华人民共和国公益事业捐赠法》、《基金会管理条例》、《民政部关于印发&lt;关于规范基金会行为的若干规定（试行）&gt;的通知》、《财政部关于印发&lt;民间非营利组织会计制度&gt;的通知》等规定和本基金会章程，结合实际，制定本制度。</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第二条</w:t>
      </w:r>
      <w:r>
        <w:rPr>
          <w:rFonts w:ascii="仿宋_GB2312" w:eastAsia="仿宋_GB2312" w:hint="eastAsia"/>
          <w:color w:val="333333"/>
          <w:sz w:val="32"/>
          <w:szCs w:val="32"/>
        </w:rPr>
        <w:t>  </w:t>
      </w:r>
      <w:r>
        <w:rPr>
          <w:rFonts w:hint="eastAsia"/>
          <w:color w:val="333333"/>
        </w:rPr>
        <w:t>本制度所称资产管理包括投资管理、固定资产管理、捐赠物资管理及资产交易。</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第三条</w:t>
      </w:r>
      <w:r>
        <w:rPr>
          <w:rStyle w:val="a4"/>
          <w:rFonts w:ascii="Calibri" w:eastAsia="仿宋" w:hAnsi="Calibri" w:cs="Calibri"/>
          <w:color w:val="333333"/>
          <w:sz w:val="32"/>
          <w:szCs w:val="32"/>
        </w:rPr>
        <w:t> </w:t>
      </w:r>
      <w:r>
        <w:rPr>
          <w:rFonts w:hint="eastAsia"/>
          <w:color w:val="333333"/>
        </w:rPr>
        <w:t> 本基金会资产管理的基本原则是：合法、谨慎、安全、有效。</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第四条</w:t>
      </w:r>
      <w:r>
        <w:rPr>
          <w:rStyle w:val="a4"/>
          <w:rFonts w:ascii="Calibri" w:eastAsia="仿宋" w:hAnsi="Calibri" w:cs="Calibri"/>
          <w:color w:val="333333"/>
          <w:sz w:val="32"/>
          <w:szCs w:val="32"/>
        </w:rPr>
        <w:t>  </w:t>
      </w:r>
      <w:r>
        <w:rPr>
          <w:rFonts w:hint="eastAsia"/>
          <w:color w:val="333333"/>
        </w:rPr>
        <w:t>本基金会按照《民间非营利组织会计制度》对资产进行会计核算和披露。</w:t>
      </w:r>
    </w:p>
    <w:p w:rsidR="009C52C9" w:rsidRDefault="009C52C9" w:rsidP="009C52C9">
      <w:pPr>
        <w:pStyle w:val="a3"/>
        <w:shd w:val="clear" w:color="auto" w:fill="FFFFFF"/>
        <w:spacing w:before="225" w:beforeAutospacing="0" w:after="225" w:afterAutospacing="0" w:line="540" w:lineRule="atLeast"/>
        <w:ind w:firstLine="645"/>
        <w:jc w:val="center"/>
        <w:rPr>
          <w:rFonts w:ascii="微软雅黑" w:eastAsia="微软雅黑" w:hAnsi="微软雅黑"/>
          <w:color w:val="333333"/>
        </w:rPr>
      </w:pPr>
      <w:r>
        <w:rPr>
          <w:rStyle w:val="a4"/>
          <w:rFonts w:ascii="Calibri" w:eastAsia="仿宋" w:hAnsi="Calibri" w:cs="Calibri"/>
          <w:color w:val="333333"/>
          <w:sz w:val="32"/>
          <w:szCs w:val="32"/>
        </w:rPr>
        <w:t> </w:t>
      </w:r>
    </w:p>
    <w:p w:rsidR="009C52C9" w:rsidRDefault="009C52C9" w:rsidP="009C52C9">
      <w:pPr>
        <w:pStyle w:val="a3"/>
        <w:shd w:val="clear" w:color="auto" w:fill="FFFFFF"/>
        <w:spacing w:before="225" w:beforeAutospacing="0" w:after="225" w:afterAutospacing="0" w:line="540" w:lineRule="atLeast"/>
        <w:jc w:val="center"/>
        <w:rPr>
          <w:rFonts w:ascii="微软雅黑" w:eastAsia="微软雅黑" w:hAnsi="微软雅黑"/>
          <w:color w:val="333333"/>
        </w:rPr>
      </w:pPr>
      <w:r>
        <w:rPr>
          <w:rStyle w:val="a4"/>
          <w:rFonts w:hint="eastAsia"/>
          <w:color w:val="333333"/>
        </w:rPr>
        <w:t>第二章  投资管理</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第五条</w:t>
      </w:r>
      <w:r>
        <w:rPr>
          <w:rFonts w:ascii="仿宋_GB2312" w:eastAsia="仿宋_GB2312" w:hint="eastAsia"/>
          <w:color w:val="333333"/>
          <w:sz w:val="32"/>
          <w:szCs w:val="32"/>
        </w:rPr>
        <w:t>  </w:t>
      </w:r>
      <w:r>
        <w:rPr>
          <w:rFonts w:hint="eastAsia"/>
          <w:color w:val="333333"/>
        </w:rPr>
        <w:t>基金会投资及资产的保值增值，遵循以下规定：</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（一）坚持合法、安全、有效的原则，符合基金会的宗旨，维护基金会的信誉，遵守捐赠人和受助人的约定；</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（二）基金会的投资活动以不妨碍正常公益活动为前提，必须保持足够的现金和货币基金等流动性较高的资产，以保证按捐赠和资助协议的约定及时、足额划拨应付款项，保证公益支出的实现；</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lastRenderedPageBreak/>
        <w:t>（三）基金会可用于投资的资产限于非限定性资产、在投资期间暂不需要拨付的限定性资产；</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（四）基金会进行委托投资，应当委托银行或者其他金融机构进行；</w:t>
      </w:r>
    </w:p>
    <w:p w:rsidR="009C52C9" w:rsidRDefault="009C52C9" w:rsidP="009C52C9">
      <w:pPr>
        <w:pStyle w:val="a3"/>
        <w:shd w:val="clear" w:color="auto" w:fill="FFFFFF"/>
        <w:spacing w:before="225" w:beforeAutospacing="0" w:after="225" w:afterAutospacing="0" w:line="540" w:lineRule="atLeast"/>
        <w:ind w:left="45" w:right="45" w:firstLine="645"/>
        <w:rPr>
          <w:rFonts w:ascii="微软雅黑" w:eastAsia="微软雅黑" w:hAnsi="微软雅黑"/>
          <w:color w:val="333333"/>
        </w:rPr>
      </w:pPr>
      <w:r>
        <w:rPr>
          <w:rFonts w:hint="eastAsia"/>
          <w:color w:val="333333"/>
        </w:rPr>
        <w:t>（五）政府资助的财产和捐赠协议约定不得投资的财产，不得用于投资。</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第六条</w:t>
      </w:r>
      <w:r>
        <w:rPr>
          <w:rFonts w:ascii="仿宋_GB2312" w:eastAsia="仿宋_GB2312" w:hint="eastAsia"/>
          <w:color w:val="333333"/>
          <w:sz w:val="32"/>
          <w:szCs w:val="32"/>
        </w:rPr>
        <w:t> </w:t>
      </w:r>
      <w:r>
        <w:rPr>
          <w:rFonts w:hint="eastAsia"/>
          <w:color w:val="333333"/>
        </w:rPr>
        <w:t> 基金会各项投资应明确投资止损原则，通过有效的过程管理控制投资风险。</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第七条</w:t>
      </w:r>
      <w:r>
        <w:rPr>
          <w:rFonts w:ascii="Calibri" w:eastAsia="黑体" w:hAnsi="Calibri" w:cs="Calibri"/>
          <w:color w:val="333333"/>
          <w:sz w:val="32"/>
          <w:szCs w:val="32"/>
        </w:rPr>
        <w:t>  </w:t>
      </w:r>
      <w:r>
        <w:rPr>
          <w:rFonts w:hint="eastAsia"/>
          <w:color w:val="333333"/>
        </w:rPr>
        <w:t>基金会一般不直接投资举办经营性经济实体；确因特殊情况需要投资或参股经营性经济实体，经过风险评估和充分论证，谨慎参与，且投资收益高于银行同期存款利率；所投资举办的经营性经济实体资产和收益属于基金会所有，每年应进行财务审计，并将财务审计报告报送登记管理机关备案。</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第八条</w:t>
      </w:r>
      <w:r>
        <w:rPr>
          <w:rFonts w:ascii="Calibri" w:eastAsia="黑体" w:hAnsi="Calibri" w:cs="Calibri"/>
          <w:color w:val="333333"/>
          <w:sz w:val="32"/>
          <w:szCs w:val="32"/>
        </w:rPr>
        <w:t> </w:t>
      </w:r>
      <w:r>
        <w:rPr>
          <w:rFonts w:hint="eastAsia"/>
          <w:color w:val="333333"/>
        </w:rPr>
        <w:t> 本基金会投资资产占基金会总资产的比例一般为80%，最高不超过92%。</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第九条</w:t>
      </w:r>
      <w:r>
        <w:rPr>
          <w:rFonts w:ascii="Calibri" w:eastAsia="黑体" w:hAnsi="Calibri" w:cs="Calibri"/>
          <w:color w:val="333333"/>
          <w:sz w:val="32"/>
          <w:szCs w:val="32"/>
        </w:rPr>
        <w:t>  </w:t>
      </w:r>
      <w:r>
        <w:rPr>
          <w:rFonts w:hint="eastAsia"/>
          <w:color w:val="333333"/>
        </w:rPr>
        <w:t>投资项目应当建立专项档案，完整保存投资的论证、审批、管理和回收等全过程资料。</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 </w:t>
      </w:r>
    </w:p>
    <w:p w:rsidR="009C52C9" w:rsidRDefault="009C52C9" w:rsidP="009C52C9">
      <w:pPr>
        <w:pStyle w:val="a3"/>
        <w:shd w:val="clear" w:color="auto" w:fill="FFFFFF"/>
        <w:spacing w:before="225" w:beforeAutospacing="0" w:after="225" w:afterAutospacing="0" w:line="540" w:lineRule="atLeast"/>
        <w:ind w:firstLine="645"/>
        <w:jc w:val="center"/>
        <w:rPr>
          <w:rFonts w:ascii="微软雅黑" w:eastAsia="微软雅黑" w:hAnsi="微软雅黑"/>
          <w:color w:val="333333"/>
        </w:rPr>
      </w:pPr>
      <w:r>
        <w:rPr>
          <w:rStyle w:val="a4"/>
          <w:rFonts w:hint="eastAsia"/>
          <w:color w:val="333333"/>
        </w:rPr>
        <w:t>第三章  固定资产管理</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第十条</w:t>
      </w:r>
      <w:r>
        <w:rPr>
          <w:rStyle w:val="a4"/>
          <w:rFonts w:ascii="Calibri" w:eastAsia="仿宋" w:hAnsi="Calibri" w:cs="Calibri"/>
          <w:color w:val="333333"/>
          <w:sz w:val="32"/>
          <w:szCs w:val="32"/>
        </w:rPr>
        <w:t>  </w:t>
      </w:r>
      <w:r>
        <w:rPr>
          <w:rFonts w:hint="eastAsia"/>
          <w:color w:val="333333"/>
        </w:rPr>
        <w:t>基金会固定资产管理与处置坚持统一核算、分工负责、物尽其用的原则。</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第十一条</w:t>
      </w:r>
      <w:r>
        <w:rPr>
          <w:rStyle w:val="a4"/>
          <w:rFonts w:ascii="Calibri" w:eastAsia="仿宋" w:hAnsi="Calibri" w:cs="Calibri"/>
          <w:color w:val="333333"/>
          <w:sz w:val="32"/>
          <w:szCs w:val="32"/>
        </w:rPr>
        <w:t>  </w:t>
      </w:r>
      <w:r>
        <w:rPr>
          <w:rFonts w:hint="eastAsia"/>
          <w:color w:val="333333"/>
        </w:rPr>
        <w:t>基金会的固定资产价值核算，严格执行《民间非营利组织会计制度》的相关规定。</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第十二条</w:t>
      </w:r>
      <w:r>
        <w:rPr>
          <w:rFonts w:ascii="Calibri" w:eastAsia="仿宋" w:hAnsi="Calibri" w:cs="Calibri"/>
          <w:color w:val="333333"/>
          <w:sz w:val="32"/>
          <w:szCs w:val="32"/>
        </w:rPr>
        <w:t>  </w:t>
      </w:r>
      <w:r>
        <w:rPr>
          <w:rFonts w:hint="eastAsia"/>
          <w:color w:val="333333"/>
        </w:rPr>
        <w:t>固定资产的购置和调入。购置和调入固定资产，必须按本基金会有关固定资产处置审批权限和程序报批，由理事会审议后确定，并相应做好验收工作。属于技术专用设备的还应会同有关专业技术人员共同验收。验收合格后，及时办理相应手续。</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第十三条</w:t>
      </w:r>
      <w:r>
        <w:rPr>
          <w:rFonts w:ascii="Calibri" w:eastAsia="仿宋" w:hAnsi="Calibri" w:cs="Calibri"/>
          <w:color w:val="333333"/>
          <w:sz w:val="32"/>
          <w:szCs w:val="32"/>
        </w:rPr>
        <w:t>  </w:t>
      </w:r>
      <w:r>
        <w:rPr>
          <w:rFonts w:hint="eastAsia"/>
          <w:color w:val="333333"/>
        </w:rPr>
        <w:t>固定资产的调出和报废。对使用年限已久，确无修复价值或因技术发展已丧失价值以及闲置的，要按规定及时处理，调出和报废固定资产，必须按本基金会固定资产处置审批权限报批，由理事会审议后确定。有处置收入的由出纳人员将所收取款项及时入账并开具收据。</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第十四条</w:t>
      </w:r>
      <w:r>
        <w:rPr>
          <w:rFonts w:ascii="Calibri" w:eastAsia="仿宋" w:hAnsi="Calibri" w:cs="Calibri"/>
          <w:color w:val="333333"/>
          <w:sz w:val="32"/>
          <w:szCs w:val="32"/>
        </w:rPr>
        <w:t>  </w:t>
      </w:r>
      <w:r>
        <w:rPr>
          <w:rFonts w:hint="eastAsia"/>
          <w:color w:val="333333"/>
        </w:rPr>
        <w:t>固定资产的盘点和清查。基金会固定资产至少每年盘点一次、作到帐实相符。盘盈的固定资产应当按照其公允价值入账，并计入当期收入；盘亏的固定资产在减去过失人或保险公司等赔款和残料价值后计入当期费用。</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第十五条</w:t>
      </w:r>
      <w:r>
        <w:rPr>
          <w:rStyle w:val="a4"/>
          <w:rFonts w:ascii="Calibri" w:eastAsia="仿宋" w:hAnsi="Calibri" w:cs="Calibri"/>
          <w:color w:val="333333"/>
          <w:sz w:val="32"/>
          <w:szCs w:val="32"/>
        </w:rPr>
        <w:t> </w:t>
      </w:r>
      <w:r>
        <w:rPr>
          <w:rFonts w:hint="eastAsia"/>
          <w:color w:val="333333"/>
        </w:rPr>
        <w:t> 外部使用本单位的固定资产，要实行有偿使用制度，合理收取占用费、使用费。 </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第十六条</w:t>
      </w:r>
      <w:r>
        <w:rPr>
          <w:rStyle w:val="a4"/>
          <w:rFonts w:ascii="Calibri" w:eastAsia="仿宋" w:hAnsi="Calibri" w:cs="Calibri"/>
          <w:color w:val="333333"/>
          <w:sz w:val="32"/>
          <w:szCs w:val="32"/>
        </w:rPr>
        <w:t>  </w:t>
      </w:r>
      <w:r>
        <w:rPr>
          <w:rFonts w:hint="eastAsia"/>
          <w:color w:val="333333"/>
        </w:rPr>
        <w:t>任何组织和个人不得侵占、挪用或任意调拨基金会的固定资产。</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第十七条</w:t>
      </w:r>
      <w:r>
        <w:rPr>
          <w:rFonts w:ascii="仿宋_GB2312" w:eastAsia="仿宋_GB2312" w:hint="eastAsia"/>
          <w:color w:val="333333"/>
          <w:sz w:val="32"/>
          <w:szCs w:val="32"/>
        </w:rPr>
        <w:t> </w:t>
      </w:r>
      <w:r>
        <w:rPr>
          <w:rFonts w:hint="eastAsia"/>
          <w:color w:val="333333"/>
        </w:rPr>
        <w:t> 固定资产管理人员变动，及时办理交接手续。</w:t>
      </w:r>
    </w:p>
    <w:p w:rsidR="009C52C9" w:rsidRDefault="009C52C9" w:rsidP="009C52C9">
      <w:pPr>
        <w:pStyle w:val="a3"/>
        <w:shd w:val="clear" w:color="auto" w:fill="FFFFFF"/>
        <w:spacing w:before="225" w:beforeAutospacing="0" w:after="225" w:afterAutospacing="0" w:line="540" w:lineRule="atLeast"/>
        <w:ind w:firstLine="645"/>
        <w:jc w:val="center"/>
        <w:rPr>
          <w:rFonts w:ascii="微软雅黑" w:eastAsia="微软雅黑" w:hAnsi="微软雅黑"/>
          <w:color w:val="333333"/>
        </w:rPr>
      </w:pPr>
      <w:r>
        <w:rPr>
          <w:rStyle w:val="a4"/>
          <w:rFonts w:ascii="Calibri" w:eastAsia="仿宋" w:hAnsi="Calibri" w:cs="Calibri"/>
          <w:color w:val="333333"/>
          <w:sz w:val="32"/>
          <w:szCs w:val="32"/>
        </w:rPr>
        <w:t> </w:t>
      </w:r>
    </w:p>
    <w:p w:rsidR="009C52C9" w:rsidRDefault="009C52C9" w:rsidP="009C52C9">
      <w:pPr>
        <w:pStyle w:val="a3"/>
        <w:shd w:val="clear" w:color="auto" w:fill="FFFFFF"/>
        <w:spacing w:before="225" w:beforeAutospacing="0" w:after="225" w:afterAutospacing="0" w:line="540" w:lineRule="atLeast"/>
        <w:jc w:val="center"/>
        <w:rPr>
          <w:rFonts w:ascii="微软雅黑" w:eastAsia="微软雅黑" w:hAnsi="微软雅黑"/>
          <w:color w:val="333333"/>
        </w:rPr>
      </w:pPr>
      <w:r>
        <w:rPr>
          <w:rStyle w:val="a4"/>
          <w:rFonts w:hint="eastAsia"/>
          <w:color w:val="333333"/>
        </w:rPr>
        <w:t>第四章  捐赠物资管理</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第十八条</w:t>
      </w:r>
      <w:r>
        <w:rPr>
          <w:rFonts w:ascii="仿宋_GB2312" w:eastAsia="仿宋_GB2312" w:hint="eastAsia"/>
          <w:color w:val="333333"/>
          <w:sz w:val="32"/>
          <w:szCs w:val="32"/>
        </w:rPr>
        <w:t> </w:t>
      </w:r>
      <w:r>
        <w:rPr>
          <w:rFonts w:hint="eastAsia"/>
          <w:color w:val="333333"/>
        </w:rPr>
        <w:t>基金会接受食品、药品、医疗器械等捐赠物品，应当确保物品在到达最终受益人时仍处于保质期内且具有使用价值。</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第十九条</w:t>
      </w:r>
      <w:r>
        <w:rPr>
          <w:rFonts w:ascii="Calibri" w:eastAsia="仿宋" w:hAnsi="Calibri" w:cs="Calibri"/>
          <w:color w:val="333333"/>
          <w:sz w:val="32"/>
          <w:szCs w:val="32"/>
        </w:rPr>
        <w:t>  </w:t>
      </w:r>
      <w:r>
        <w:rPr>
          <w:rFonts w:hint="eastAsia"/>
          <w:color w:val="333333"/>
        </w:rPr>
        <w:t>基金会接受企业捐赠本企业生产的产品，应当要求企业提供产品质量认证证明或者产品合格证，以及受赠物品的品名、规格、种类、数量等相关资料。</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第二十条</w:t>
      </w:r>
      <w:r>
        <w:rPr>
          <w:rFonts w:ascii="Calibri" w:eastAsia="仿宋" w:hAnsi="Calibri" w:cs="Calibri"/>
          <w:color w:val="333333"/>
          <w:sz w:val="32"/>
          <w:szCs w:val="32"/>
        </w:rPr>
        <w:t> </w:t>
      </w:r>
      <w:r>
        <w:rPr>
          <w:rFonts w:hint="eastAsia"/>
          <w:color w:val="333333"/>
        </w:rPr>
        <w:t> 对于指定用于救助自然灾害等突发事件的受赠财产，用于应急的应当在应急期结束前使用完毕；用于灾后重建的应当在重建期结束前使用完毕。</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对确因特殊原因无法使用完毕的受赠财产，基金会可在取得捐赠人同意或在公开媒体上公示后，将受赠财产用于与原公益目的相近似的目的。</w:t>
      </w:r>
    </w:p>
    <w:p w:rsidR="009C52C9" w:rsidRDefault="009C52C9" w:rsidP="009C52C9">
      <w:pPr>
        <w:pStyle w:val="a3"/>
        <w:shd w:val="clear" w:color="auto" w:fill="FFFFFF"/>
        <w:spacing w:before="225" w:beforeAutospacing="0" w:after="225" w:afterAutospacing="0" w:line="540" w:lineRule="atLeast"/>
        <w:ind w:firstLine="645"/>
        <w:jc w:val="center"/>
        <w:rPr>
          <w:rFonts w:ascii="微软雅黑" w:eastAsia="微软雅黑" w:hAnsi="微软雅黑"/>
          <w:color w:val="333333"/>
        </w:rPr>
      </w:pPr>
      <w:r>
        <w:rPr>
          <w:rStyle w:val="a4"/>
          <w:rFonts w:hint="eastAsia"/>
          <w:color w:val="333333"/>
        </w:rPr>
        <w:t> </w:t>
      </w:r>
    </w:p>
    <w:p w:rsidR="009C52C9" w:rsidRDefault="009C52C9" w:rsidP="009C52C9">
      <w:pPr>
        <w:pStyle w:val="a3"/>
        <w:shd w:val="clear" w:color="auto" w:fill="FFFFFF"/>
        <w:spacing w:before="225" w:beforeAutospacing="0" w:after="225" w:afterAutospacing="0" w:line="540" w:lineRule="atLeast"/>
        <w:jc w:val="center"/>
        <w:rPr>
          <w:rFonts w:ascii="微软雅黑" w:eastAsia="微软雅黑" w:hAnsi="微软雅黑"/>
          <w:color w:val="333333"/>
        </w:rPr>
      </w:pPr>
      <w:r>
        <w:rPr>
          <w:rStyle w:val="a4"/>
          <w:rFonts w:hint="eastAsia"/>
          <w:color w:val="333333"/>
        </w:rPr>
        <w:t>第五章  资产交易</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第二十一条</w:t>
      </w:r>
      <w:r>
        <w:rPr>
          <w:rFonts w:ascii="仿宋_GB2312" w:eastAsia="仿宋_GB2312" w:hint="eastAsia"/>
          <w:color w:val="333333"/>
          <w:sz w:val="32"/>
          <w:szCs w:val="32"/>
        </w:rPr>
        <w:t> </w:t>
      </w:r>
      <w:r>
        <w:rPr>
          <w:rFonts w:hint="eastAsia"/>
          <w:color w:val="333333"/>
        </w:rPr>
        <w:t>基金会进行交换交易，应当保护自身和社会公众的合法权益。不得以低于公允价值的价格出售物资、提供服务、授权或者转让无形资产；不得以高于公允价值的价格购买产品和服务。</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第二十二条</w:t>
      </w:r>
      <w:r>
        <w:rPr>
          <w:rFonts w:ascii="仿宋_GB2312" w:eastAsia="仿宋_GB2312" w:hint="eastAsia"/>
          <w:color w:val="333333"/>
          <w:sz w:val="32"/>
          <w:szCs w:val="32"/>
        </w:rPr>
        <w:t> </w:t>
      </w:r>
      <w:r>
        <w:rPr>
          <w:rFonts w:hint="eastAsia"/>
          <w:color w:val="333333"/>
        </w:rPr>
        <w:t>基金会理事、监事及其近亲属不得与本基金会有任何资产交易行为。</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第二十三条</w:t>
      </w:r>
      <w:r>
        <w:rPr>
          <w:rFonts w:ascii="仿宋_GB2312" w:eastAsia="仿宋_GB2312" w:hint="eastAsia"/>
          <w:color w:val="333333"/>
          <w:sz w:val="32"/>
          <w:szCs w:val="32"/>
        </w:rPr>
        <w:t> </w:t>
      </w:r>
      <w:r>
        <w:rPr>
          <w:rFonts w:hint="eastAsia"/>
          <w:color w:val="333333"/>
        </w:rPr>
        <w:t>基金会不得从事以下行为：</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（一）向个人、企业直接提供与公益活动无关的借款；</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（二）以合作等任何名义直接宣传、促销、销售企业的产品和品牌，为企业及其产品提供信誉或者质量担保；</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（三）对外提供任何形式的经济担保或财产担保；</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（四）将本基金会的组织名称、公益项目品牌等其他应当用于公益目的的无形资产用于非公益目的；</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（五）基金会的资金投向期货、期权等衍生金融工具；</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（六）从事可能使本基金会承担无限责任的投资；</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（七）从事违背本基金会使命、可能损害信誉的投资；</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（八）国家法律法规禁止的其他投资行为。</w:t>
      </w:r>
    </w:p>
    <w:p w:rsidR="009C52C9" w:rsidRDefault="009C52C9" w:rsidP="009C52C9">
      <w:pPr>
        <w:pStyle w:val="a3"/>
        <w:shd w:val="clear" w:color="auto" w:fill="FFFFFF"/>
        <w:spacing w:before="225" w:beforeAutospacing="0" w:after="225" w:afterAutospacing="0" w:line="540" w:lineRule="atLeast"/>
        <w:ind w:firstLine="645"/>
        <w:jc w:val="center"/>
        <w:rPr>
          <w:rFonts w:ascii="微软雅黑" w:eastAsia="微软雅黑" w:hAnsi="微软雅黑"/>
          <w:color w:val="333333"/>
        </w:rPr>
      </w:pPr>
      <w:r>
        <w:rPr>
          <w:rFonts w:hint="eastAsia"/>
          <w:color w:val="333333"/>
        </w:rPr>
        <w:t> </w:t>
      </w:r>
    </w:p>
    <w:p w:rsidR="009C52C9" w:rsidRDefault="009C52C9" w:rsidP="009C52C9">
      <w:pPr>
        <w:pStyle w:val="a3"/>
        <w:shd w:val="clear" w:color="auto" w:fill="FFFFFF"/>
        <w:spacing w:before="225" w:beforeAutospacing="0" w:after="225" w:afterAutospacing="0" w:line="540" w:lineRule="atLeast"/>
        <w:jc w:val="center"/>
        <w:rPr>
          <w:rFonts w:ascii="微软雅黑" w:eastAsia="微软雅黑" w:hAnsi="微软雅黑"/>
          <w:color w:val="333333"/>
        </w:rPr>
      </w:pPr>
      <w:r>
        <w:rPr>
          <w:rStyle w:val="a4"/>
          <w:rFonts w:hint="eastAsia"/>
          <w:color w:val="333333"/>
        </w:rPr>
        <w:t>第六章  管理责任</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第二十四条</w:t>
      </w:r>
      <w:r>
        <w:rPr>
          <w:rFonts w:ascii="Calibri" w:eastAsia="仿宋" w:hAnsi="Calibri" w:cs="Calibri"/>
          <w:color w:val="333333"/>
          <w:sz w:val="32"/>
          <w:szCs w:val="32"/>
        </w:rPr>
        <w:t> </w:t>
      </w:r>
      <w:r>
        <w:rPr>
          <w:rFonts w:hint="eastAsia"/>
          <w:color w:val="333333"/>
        </w:rPr>
        <w:t>本基金会的资产管理坚持统筹决策、各司其职相互配合、有效制衡的原则，建立资产管理责任体系和追踪问责制度，健全内部管控和制衡机制，有效防控风险，提高资产管理效能。</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ascii="黑体" w:eastAsia="黑体" w:hAnsi="黑体" w:hint="eastAsia"/>
          <w:color w:val="333333"/>
        </w:rPr>
        <w:t>第二十五条</w:t>
      </w:r>
      <w:r>
        <w:rPr>
          <w:rFonts w:ascii="Calibri" w:eastAsia="仿宋" w:hAnsi="Calibri" w:cs="Calibri"/>
          <w:color w:val="333333"/>
          <w:sz w:val="32"/>
          <w:szCs w:val="32"/>
        </w:rPr>
        <w:t> </w:t>
      </w:r>
      <w:r>
        <w:rPr>
          <w:rFonts w:hint="eastAsia"/>
          <w:color w:val="333333"/>
        </w:rPr>
        <w:t> 基金会投资决策与执行应当分离。建立规范的投资决策议事规则，投资计划必须经过理事会决策同意方可执行。理事会授权理事长或理事长办公会等开展投资活动的，投资方案也应当报经理事会决策同意。</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投资决策记录应载明投资事项、参与表决理事的意见和签名，并存入档案。执行情况应定期向理事会汇报。</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ascii="黑体" w:eastAsia="黑体" w:hAnsi="黑体" w:hint="eastAsia"/>
          <w:color w:val="333333"/>
        </w:rPr>
        <w:t>第二十六条</w:t>
      </w:r>
      <w:r>
        <w:rPr>
          <w:rFonts w:ascii="Calibri" w:eastAsia="仿宋" w:hAnsi="Calibri" w:cs="Calibri"/>
          <w:color w:val="333333"/>
          <w:sz w:val="32"/>
          <w:szCs w:val="32"/>
        </w:rPr>
        <w:t>  </w:t>
      </w:r>
      <w:r>
        <w:rPr>
          <w:rFonts w:hint="eastAsia"/>
          <w:color w:val="333333"/>
        </w:rPr>
        <w:t>理事会对资产管理履行以下决策职责：</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（一）制定资产管理的具体规定；</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（二）确定年度投资计划和资产处置计划；</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（三）决定投资方案；</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（四）检查、监督资产管理落实工作；</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（五）其他有关资产管理的重要事项。</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第二十七条</w:t>
      </w:r>
      <w:r>
        <w:rPr>
          <w:rFonts w:ascii="Calibri" w:eastAsia="黑体" w:hAnsi="Calibri" w:cs="Calibri"/>
          <w:color w:val="333333"/>
          <w:sz w:val="32"/>
          <w:szCs w:val="32"/>
        </w:rPr>
        <w:t> </w:t>
      </w:r>
      <w:r>
        <w:rPr>
          <w:rStyle w:val="a4"/>
          <w:rFonts w:ascii="Calibri" w:eastAsia="仿宋" w:hAnsi="Calibri" w:cs="Calibri"/>
          <w:color w:val="333333"/>
          <w:sz w:val="32"/>
          <w:szCs w:val="32"/>
        </w:rPr>
        <w:t> </w:t>
      </w:r>
      <w:r>
        <w:rPr>
          <w:rFonts w:hint="eastAsia"/>
          <w:color w:val="333333"/>
        </w:rPr>
        <w:t>理事遇有个人利益与本基金会资产利益关联时，不得参与相关事宜的决策。</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第二十八条</w:t>
      </w:r>
      <w:r>
        <w:rPr>
          <w:rStyle w:val="a4"/>
          <w:rFonts w:ascii="Calibri" w:eastAsia="仿宋" w:hAnsi="Calibri" w:cs="Calibri"/>
          <w:color w:val="333333"/>
          <w:sz w:val="32"/>
          <w:szCs w:val="32"/>
        </w:rPr>
        <w:t>  </w:t>
      </w:r>
      <w:r>
        <w:rPr>
          <w:rFonts w:hint="eastAsia"/>
          <w:color w:val="333333"/>
        </w:rPr>
        <w:t>本制度规定由理事会审批的事项，履行基金会章程规定的决策程序。</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第二十九条</w:t>
      </w:r>
      <w:r>
        <w:rPr>
          <w:rFonts w:ascii="Calibri" w:eastAsia="黑体" w:hAnsi="Calibri" w:cs="Calibri"/>
          <w:color w:val="333333"/>
          <w:sz w:val="32"/>
          <w:szCs w:val="32"/>
        </w:rPr>
        <w:t> </w:t>
      </w:r>
      <w:r>
        <w:rPr>
          <w:rStyle w:val="a4"/>
          <w:rFonts w:ascii="Calibri" w:eastAsia="仿宋" w:hAnsi="Calibri" w:cs="Calibri"/>
          <w:color w:val="333333"/>
          <w:sz w:val="32"/>
          <w:szCs w:val="32"/>
        </w:rPr>
        <w:t> </w:t>
      </w:r>
      <w:r>
        <w:rPr>
          <w:rFonts w:ascii="仿宋_GB2312" w:eastAsia="仿宋_GB2312" w:hint="eastAsia"/>
          <w:color w:val="333333"/>
          <w:sz w:val="32"/>
          <w:szCs w:val="32"/>
        </w:rPr>
        <w:t>  </w:t>
      </w:r>
      <w:r>
        <w:rPr>
          <w:rFonts w:hint="eastAsia"/>
          <w:color w:val="333333"/>
        </w:rPr>
        <w:t>基金会办公室是本基金会资产的具体管理部门,履行以下管理职责：</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（一）执行理事会制定的投资战略、具体规定及其他有关决议；</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（二）执行年度投资计划和资产处置计划，负责相关投资管理和资产处置落实工作；</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（三）负责对投资资产的监督管理和固定资产的日常管理；</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（四）会同财务部门做好非现金资产盘点、登记和管理工作，做到账实相符、账表相符；</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（五）完成理事会授权和交办的其他资产管理工作。</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ascii="黑体" w:eastAsia="黑体" w:hAnsi="黑体" w:hint="eastAsia"/>
          <w:color w:val="333333"/>
        </w:rPr>
        <w:t>第三十条</w:t>
      </w:r>
      <w:r>
        <w:rPr>
          <w:rFonts w:ascii="Calibri" w:eastAsia="黑体" w:hAnsi="Calibri" w:cs="Calibri"/>
          <w:color w:val="333333"/>
          <w:sz w:val="32"/>
          <w:szCs w:val="32"/>
        </w:rPr>
        <w:t>  </w:t>
      </w:r>
      <w:r>
        <w:rPr>
          <w:rFonts w:hint="eastAsia"/>
          <w:color w:val="333333"/>
        </w:rPr>
        <w:t>基金会财务部门在理事会领导下，履行基金会资产财会管理职责；</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（一）负责资产的财务管理和会计核算；</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（二）建立健全资产内部会计控制与财务监督制度，依法依规编制资产管理财务报表，保证会计资料合法、真实、准确、完整；</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（三）参与固定资产的清查盘点；</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（四）依法进行审计；</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（五）依法履行财务信息披露义务；</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hint="eastAsia"/>
          <w:color w:val="333333"/>
        </w:rPr>
        <w:t>（六）完成理事会授权和交办的其他工作。</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ascii="黑体" w:eastAsia="黑体" w:hAnsi="黑体" w:hint="eastAsia"/>
          <w:color w:val="333333"/>
        </w:rPr>
        <w:t>第三十一条</w:t>
      </w:r>
      <w:r>
        <w:rPr>
          <w:rFonts w:ascii="Calibri" w:eastAsia="仿宋" w:hAnsi="Calibri" w:cs="Calibri"/>
          <w:color w:val="333333"/>
          <w:sz w:val="32"/>
          <w:szCs w:val="32"/>
        </w:rPr>
        <w:t> </w:t>
      </w:r>
      <w:r>
        <w:rPr>
          <w:rFonts w:ascii="仿宋_GB2312" w:eastAsia="仿宋_GB2312" w:hint="eastAsia"/>
          <w:color w:val="333333"/>
          <w:sz w:val="32"/>
          <w:szCs w:val="32"/>
        </w:rPr>
        <w:t> </w:t>
      </w:r>
      <w:r>
        <w:rPr>
          <w:rFonts w:hint="eastAsia"/>
          <w:color w:val="333333"/>
        </w:rPr>
        <w:t>按照不相容职务分离的要求，会计岗位、出纳岗位和投资岗位的人员不得相互兼任。  </w:t>
      </w:r>
    </w:p>
    <w:p w:rsidR="009C52C9" w:rsidRDefault="009C52C9" w:rsidP="009C52C9">
      <w:pPr>
        <w:pStyle w:val="a3"/>
        <w:shd w:val="clear" w:color="auto" w:fill="FFFFFF"/>
        <w:spacing w:before="0" w:beforeAutospacing="0" w:after="0" w:afterAutospacing="0" w:line="540" w:lineRule="atLeast"/>
        <w:ind w:firstLine="645"/>
        <w:rPr>
          <w:rFonts w:ascii="微软雅黑" w:eastAsia="微软雅黑" w:hAnsi="微软雅黑"/>
          <w:color w:val="333333"/>
        </w:rPr>
      </w:pPr>
      <w:r>
        <w:rPr>
          <w:rFonts w:ascii="黑体" w:eastAsia="黑体" w:hAnsi="黑体" w:hint="eastAsia"/>
          <w:color w:val="333333"/>
        </w:rPr>
        <w:t>第三十二条</w:t>
      </w:r>
      <w:r>
        <w:rPr>
          <w:rStyle w:val="a4"/>
          <w:rFonts w:ascii="仿宋_GB2312" w:eastAsia="仿宋_GB2312" w:hint="eastAsia"/>
          <w:color w:val="333333"/>
          <w:sz w:val="32"/>
          <w:szCs w:val="32"/>
        </w:rPr>
        <w:t>  </w:t>
      </w:r>
      <w:r>
        <w:rPr>
          <w:rFonts w:hint="eastAsia"/>
          <w:color w:val="333333"/>
        </w:rPr>
        <w:t>基金会人员发生以下行为，视情节轻重对有关责任人给予相应处理；造成资产损失的，应当承担相应赔偿责任；涉嫌犯罪的，移交司法机关处理：</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（一）理事会违反《基金会管理条例》和章程规定决策不当，致使基金会遭受财产损失；</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（二）未经规定程序审批，擅自投资或处置资产；</w:t>
      </w:r>
    </w:p>
    <w:p w:rsidR="009C52C9" w:rsidRDefault="009C52C9" w:rsidP="009C52C9">
      <w:pPr>
        <w:pStyle w:val="a3"/>
        <w:shd w:val="clear" w:color="auto" w:fill="FFFFFF"/>
        <w:spacing w:before="225" w:beforeAutospacing="0" w:after="225" w:afterAutospacing="0" w:line="540" w:lineRule="atLeast"/>
        <w:ind w:right="45" w:firstLine="645"/>
        <w:rPr>
          <w:rFonts w:ascii="微软雅黑" w:eastAsia="微软雅黑" w:hAnsi="微软雅黑"/>
          <w:color w:val="333333"/>
        </w:rPr>
      </w:pPr>
      <w:r>
        <w:rPr>
          <w:rFonts w:hint="eastAsia"/>
          <w:color w:val="333333"/>
        </w:rPr>
        <w:t>（三）玩忽职守造成财产损失；</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（四）营私舞弊，以基金会资产为自己或他人谋取私利；</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（五）私分、侵占、挪用基金会资产；</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（六）其他违反制度规定，造成资产损失或损害本基金会信誉的行为。</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hint="eastAsia"/>
          <w:color w:val="333333"/>
        </w:rPr>
        <w:t> </w:t>
      </w:r>
    </w:p>
    <w:p w:rsidR="009C52C9" w:rsidRDefault="009C52C9" w:rsidP="009C52C9">
      <w:pPr>
        <w:pStyle w:val="a3"/>
        <w:shd w:val="clear" w:color="auto" w:fill="FFFFFF"/>
        <w:spacing w:before="225" w:beforeAutospacing="0" w:after="225" w:afterAutospacing="0" w:line="540" w:lineRule="atLeast"/>
        <w:jc w:val="center"/>
        <w:rPr>
          <w:rFonts w:ascii="微软雅黑" w:eastAsia="微软雅黑" w:hAnsi="微软雅黑"/>
          <w:color w:val="333333"/>
        </w:rPr>
      </w:pPr>
      <w:r>
        <w:rPr>
          <w:rStyle w:val="a4"/>
          <w:rFonts w:hint="eastAsia"/>
          <w:color w:val="333333"/>
        </w:rPr>
        <w:t>第七章  附  则</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第三十三条</w:t>
      </w:r>
      <w:r>
        <w:rPr>
          <w:rFonts w:ascii="Calibri" w:eastAsia="黑体" w:hAnsi="Calibri" w:cs="Calibri"/>
          <w:color w:val="333333"/>
          <w:sz w:val="32"/>
          <w:szCs w:val="32"/>
        </w:rPr>
        <w:t>  </w:t>
      </w:r>
      <w:r>
        <w:rPr>
          <w:rFonts w:hint="eastAsia"/>
          <w:color w:val="333333"/>
        </w:rPr>
        <w:t>本制度未尽事宜或与有关规定不一致的，按有关规定执行。</w:t>
      </w:r>
    </w:p>
    <w:p w:rsidR="009C52C9" w:rsidRDefault="009C52C9" w:rsidP="009C52C9">
      <w:pPr>
        <w:pStyle w:val="a3"/>
        <w:shd w:val="clear" w:color="auto" w:fill="FFFFFF"/>
        <w:spacing w:before="225" w:beforeAutospacing="0" w:after="225" w:afterAutospacing="0" w:line="540" w:lineRule="atLeast"/>
        <w:ind w:firstLine="645"/>
        <w:rPr>
          <w:rFonts w:ascii="微软雅黑" w:eastAsia="微软雅黑" w:hAnsi="微软雅黑"/>
          <w:color w:val="333333"/>
        </w:rPr>
      </w:pPr>
      <w:r>
        <w:rPr>
          <w:rFonts w:ascii="黑体" w:eastAsia="黑体" w:hAnsi="黑体" w:hint="eastAsia"/>
          <w:color w:val="333333"/>
        </w:rPr>
        <w:t>第三十四条</w:t>
      </w:r>
      <w:r>
        <w:rPr>
          <w:rFonts w:ascii="Calibri" w:eastAsia="黑体" w:hAnsi="Calibri" w:cs="Calibri"/>
          <w:color w:val="333333"/>
          <w:sz w:val="32"/>
          <w:szCs w:val="32"/>
        </w:rPr>
        <w:t> </w:t>
      </w:r>
      <w:r>
        <w:rPr>
          <w:rFonts w:hint="eastAsia"/>
          <w:color w:val="333333"/>
        </w:rPr>
        <w:t>本制度由理事会负责解释。</w:t>
      </w:r>
    </w:p>
    <w:p w:rsidR="00F9651E" w:rsidRPr="009C52C9" w:rsidRDefault="00F9651E"/>
    <w:sectPr w:rsidR="00F9651E" w:rsidRPr="009C52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0E" w:rsidRDefault="004C590E" w:rsidP="00B252DC">
      <w:r>
        <w:separator/>
      </w:r>
    </w:p>
  </w:endnote>
  <w:endnote w:type="continuationSeparator" w:id="0">
    <w:p w:rsidR="004C590E" w:rsidRDefault="004C590E" w:rsidP="00B2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0E" w:rsidRDefault="004C590E" w:rsidP="00B252DC">
      <w:r>
        <w:separator/>
      </w:r>
    </w:p>
  </w:footnote>
  <w:footnote w:type="continuationSeparator" w:id="0">
    <w:p w:rsidR="004C590E" w:rsidRDefault="004C590E" w:rsidP="00B2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C9"/>
    <w:rsid w:val="004C590E"/>
    <w:rsid w:val="009C52C9"/>
    <w:rsid w:val="00B252DC"/>
    <w:rsid w:val="00F9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6B450-C4EB-4A5C-82E2-C9F8C49C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2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52C9"/>
    <w:rPr>
      <w:b/>
      <w:bCs/>
    </w:rPr>
  </w:style>
  <w:style w:type="paragraph" w:styleId="a5">
    <w:name w:val="header"/>
    <w:basedOn w:val="a"/>
    <w:link w:val="Char"/>
    <w:uiPriority w:val="99"/>
    <w:unhideWhenUsed/>
    <w:rsid w:val="00B25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252DC"/>
    <w:rPr>
      <w:sz w:val="18"/>
      <w:szCs w:val="18"/>
    </w:rPr>
  </w:style>
  <w:style w:type="paragraph" w:styleId="a6">
    <w:name w:val="footer"/>
    <w:basedOn w:val="a"/>
    <w:link w:val="Char0"/>
    <w:uiPriority w:val="99"/>
    <w:unhideWhenUsed/>
    <w:rsid w:val="00B252DC"/>
    <w:pPr>
      <w:tabs>
        <w:tab w:val="center" w:pos="4153"/>
        <w:tab w:val="right" w:pos="8306"/>
      </w:tabs>
      <w:snapToGrid w:val="0"/>
      <w:jc w:val="left"/>
    </w:pPr>
    <w:rPr>
      <w:sz w:val="18"/>
      <w:szCs w:val="18"/>
    </w:rPr>
  </w:style>
  <w:style w:type="character" w:customStyle="1" w:styleId="Char0">
    <w:name w:val="页脚 Char"/>
    <w:basedOn w:val="a0"/>
    <w:link w:val="a6"/>
    <w:uiPriority w:val="99"/>
    <w:rsid w:val="00B252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ouyang</dc:creator>
  <cp:keywords/>
  <dc:description/>
  <cp:lastModifiedBy>think</cp:lastModifiedBy>
  <cp:revision>2</cp:revision>
  <dcterms:created xsi:type="dcterms:W3CDTF">2020-09-23T02:14:00Z</dcterms:created>
  <dcterms:modified xsi:type="dcterms:W3CDTF">2020-09-23T02:14:00Z</dcterms:modified>
</cp:coreProperties>
</file>